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113</w:t>
      </w:r>
    </w:p>
    <w:p>
      <w:r>
        <w:t>Bundesgericht (BGE), 1994-07-21, DE</w:t>
      </w:r>
    </w:p>
    <w:p>
      <w:r>
        <w:rPr>
          <w:b/>
        </w:rPr>
        <w:t xml:space="preserve">Quelle: </w:t>
      </w:r>
      <w:r>
        <w:t>https://mcp.opencaselaw.ch/entscheid/bge_121 I 113</w:t>
      </w:r>
    </w:p>
    <w:p>
      <w:r>
        <w:t>FR: ATF 121 I 113</w:t>
      </w:r>
    </w:p>
    <w:p>
      <w:r>
        <w:t>IT: DTF 121 I 113</w:t>
      </w:r>
    </w:p>
    <w:p>
      <w:pPr>
        <w:pStyle w:val="Heading2"/>
      </w:pPr>
      <w:r>
        <w:t>Regeste</w:t>
      </w:r>
    </w:p>
    <w:p>
      <w:r>
        <w:t>Regeste Art. 4 BV und Art. 202 des Gesetzes über das Strafverfahren des Kantons Bern (StrV); Entschädigung des amtlichen Verteidigers bei Aufhebung der Strafverfolgung. Willkürliche Anwendung von Art. 202 StrV, dem amtlichen Verteidiger eines obsiegenden Angeschuldigten lediglich 3/4 des entsprechenden Anwaltshonorars zuzusprechen.</w:t>
      </w:r>
    </w:p>
    <w:p>
      <w:pPr>
        <w:pStyle w:val="Heading2"/>
      </w:pPr>
      <w:r>
        <w:t>Erwägungen</w:t>
      </w:r>
    </w:p>
    <w:p>
      <w:r>
        <w:rPr>
          <w:b/>
        </w:rPr>
        <w:t>E. 3</w:t>
      </w:r>
    </w:p>
    <w:p>
      <w:r>
        <w:t>Die Beschwerdeführer werfen der Anklagekammer Willkür vor, weil sie ihnen lediglich drei Viertel und nicht das volle Anwaltshonorar zugesprochen habe. a) Willkür liegt nach ständiger Rechtsprechung des Bundesgerichts nicht schon dann vor, wenn eine andere Lösung ebenfalls vertretbar erscheint oder 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119 Ia 113 E. 3a mit Hinweisen). b) Nach Art. 202 Abs. 1 des Gesetzes über das Strafverfahren des Kantons Bern vom 20. Mai 1928 (StrV) ist im Aufhebungsbeschluss darüber zu entscheiden, ob dem Angeschuldigten für die durch die Untersuchung verursachten Nachteile und für die Verteidigungskosten eine Entschädigung gebührt. Hierüber, wie auch über das Mass der Entschädigung, ist nach Billigkeitsgründen zu befinden. BGE 121 I 113 S. 115 Die Anklagekammer verweigerte S. und Z. eine Entschädigung für Verteidigungskosten mit der Begründung, ihre amtlichen Verteidiger seien aus der Staatskasse im Umfang von drei Vierteln der Gebühr plus Auslagen zu entschädigen. Sie brachte damit stillschweigend zum Ausdruck, dass den Angeschuldigten hinsichtlich den Verteidigungskosten keine Entschädigung auszurichten sei, weil ihnen insoweit auch kein Nachteil entstanden sei. c) Die Beschwerdeführer rügen eine willkürliche Anwendung von Art. 202 Abs. 1 StrV. Sie machen geltend, die umstrittene Bestimmung enthalte keine Anhaltspunkte für eine unterschiedliche Behandlung von Entschädigungsansprüchen für Honorarforderungen amtlicher und privat beigezogener Anwälte. Die Praxis der Anklagekammer führe zum stossenden Resultat, dass der amtlich verteidigte und vollumfänglich obsiegende Angeschuldigte entgegen dem klaren Wortlaut von Art. 202 StrV keine Entschädigung für die Verteidigungskosten erhalte. Dadurch werde der Staat in unterschiedlichem Masse entschädigungspflichtig, je nachdem, ob der Angeschuldigte privat oder amtlich verteidigt sei. Ausserdem werde der amtliche Verteidiger im Falle eines vollständigen Obsiegens seines Klienten schlechter gestellt, als wenn letzterem ganz oder teilweise die Kosten auferlegt würden. Diesfalls hätte er für das restliche Honorarviertel ein Nachforderungsrecht im Sinne von Art. 42 Abs. 2 StrV. d) Art. 202 Abs. 1 StrV regelt den Entschädigungsanspruch des Angeschuldigten gegenüber dem Staat für die durch eine Untersuchung verursachten Nachteile. Für eine unterschiedliche Behandlung von Entschädigungsansprüchen für Honorarforderungen amtlicher und privat beigezogener Verteidiger lassen sich dieser Bestimmung keine Anhaltspunkte entnehmen. Für die Entschädigung des amtlichen Verteidigers verweist Art. 42 Abs. 2 StrV auf das Dekret vom 6. November 1973 über die Anwaltsgebühren (DAG). Dort wird in Art. 17 Abs. 1 (laut der für den vorliegenden Fall massgebenden Fassung) festgesetzt, dass der amtlich bestellte Anwalt in Zivil-, Straf- und Verwaltungsrechtssachen drei Viertel der tarifmässigen Gebühren aus der Staatskasse bezieht. Nach Art. 18 DAG kann der amtlich bestellte Anwalt seine Entschädigung vom Staat auch dann verlangen, wenn die von ihm vertretene Partei obsiegt, die Eintreibung der Kostenforderung vom Prozessgegner gemäss Art. 82 ZPO aber erfolglos bleibt oder aussichtslos erscheint. Danach kann der amtliche Anwalt einer obsiegenden Partei seine Entschädigung nur dann vom Staat verlangen, wenn die BGE 121 I 113 S. 116 Eintreibung der Kostenforderung vom Prozessgegner gemäss Art. 82 ZPO erfolglos bleibt oder aussichtslos erscheint. Diese Voraussetzung ist im vorliegenden Fall - mit dem Staat als "Prozessgegner" - nicht erfüllt. Den kantonalen Bestimmungen lassen sich somit keine Anhaltspunkte entnehmen, die auf eine unterschiedliche Behandlung der Entschädigungsansprüche der amtlich oder privat verteidigten obsiegenden Angeschuldigten hinweisen würden. Dies führt dazu, dass die Verteidigungskosten nach dem Prinzip des Obsiegens bzw. Verlierens zu verlegen sind. Mit Blick auf Art. 202 StrV heisst das, dass die Höhe des Entschädigungsanspruchs des obsiegenden Angeschuldigten unabhängig davon festzusetzen ist, ob er privat oder amtlich verteidigt war. Die Lösung des angefochtenen Entscheids würde auch eine ungerechtfertigte Ungleichbehandlung zwischen einem amtlichen Verteidiger bei Freispruch oder Aufhebung der Strafverfolgung ohne Kostenfolge und einem obsiegenden amtlichen Anwalt in einem Zivilprozess oder in der Verwaltungsrechtspflege (vgl. Urteil des Verwaltungsgerichts des Kantons Bern vom 3. Mai 1993, in BVR 1994 S. 281 ff.) bewirken, in welchen Verfahren die unterliegende Partei zu einem vollständigen Parteikostenersatz verpflichtet wird. Hinzu käme eine weitere Ungleichbehandlung gegenüber dem amtlichen Verteidiger, dessen Klienten die Kosten ganz oder teilweise auferlegt werden. Im Falle einer Kostenauferlegung an seinen Klienten hätte der amtliche Verteidiger unter den Voraussetzungen von Art. 42 Abs. 2 StrV in Verbindung mit Art. 82 Abs. 3 und 4 ZPO zusätzlich zum Entschädigungsanspruch gegenüber dem Staat ein Nachforderungsrecht gegen seinen Klienten auf den vom Staat nicht übernommenen Teil der tarifmässigen Gebühren (vgl. Art. 17 Abs. 1 DAG). e) Da sich für die von der Anklagekammer gewählte Lösung den kantonalen Bestimmungen keine Anhaltspunkte entnehmen lassen und diese Lösung ausserdem zu der unter Erwägung 3d erwähnten ungerechtfertigten Ungleichbehandlung führt, hat die Anklagekammer Art. 202 Abs. 1 StrV willkürlich ausgelegt, indem sie den Beschwerdeführern nicht die vollständigen Verteidigungskosten als Entschädigung zusprach.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